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left="0" w:leftChars="0" w:firstLine="0" w:firstLineChars="0"/>
        <w:jc w:val="center"/>
        <w:textAlignment w:val="baseline"/>
        <w:rPr>
          <w:rFonts w:hint="eastAsia" w:ascii="方正小标宋_GBK" w:hAnsi="方正小标宋_GBK" w:eastAsia="方正小标宋_GBK" w:cs="方正小标宋_GBK"/>
          <w:snapToGrid w:val="0"/>
          <w:color w:val="000000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snapToGrid w:val="0"/>
          <w:color w:val="000000"/>
          <w:kern w:val="0"/>
          <w:sz w:val="44"/>
          <w:szCs w:val="44"/>
          <w:lang w:val="en-US" w:eastAsia="zh-CN" w:bidi="ar-SA"/>
        </w:rPr>
        <w:t>洪泽区个体工商户分类标准</w:t>
      </w: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left="0" w:leftChars="0" w:firstLine="0" w:firstLineChars="0"/>
        <w:jc w:val="center"/>
        <w:textAlignment w:val="baseline"/>
        <w:rPr>
          <w:rFonts w:hint="default" w:ascii="Arial" w:eastAsia="方正小标宋_GBK"/>
          <w:sz w:val="21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napToGrid w:val="0"/>
          <w:color w:val="000000"/>
          <w:kern w:val="0"/>
          <w:sz w:val="44"/>
          <w:szCs w:val="44"/>
          <w:lang w:val="en-US" w:eastAsia="zh-CN" w:bidi="ar-SA"/>
        </w:rPr>
        <w:t>(征求意见稿)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56" w:firstLineChars="200"/>
        <w:jc w:val="both"/>
        <w:textAlignment w:val="baseline"/>
        <w:rPr>
          <w:rFonts w:hint="eastAsia" w:ascii="方正仿宋_GBK" w:hAnsi="方正仿宋_GBK" w:eastAsia="方正仿宋_GBK" w:cs="方正仿宋_GBK"/>
          <w:spacing w:val="4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  <w:lang w:eastAsia="zh-CN"/>
        </w:rPr>
        <w:t>为贯彻落实《关于开展个体工商户分型分类精准帮扶提升发展质量的实施意见》（苏市监〔2024〕</w:t>
      </w:r>
      <w:r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130</w:t>
      </w:r>
      <w:r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  <w:lang w:eastAsia="zh-CN"/>
        </w:rPr>
        <w:t>号）等文件精神，结合我区实际，制定本分类标准。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20" w:lineRule="exact"/>
        <w:ind w:firstLine="656" w:firstLineChars="200"/>
        <w:jc w:val="both"/>
        <w:rPr>
          <w:rFonts w:hint="default" w:ascii="Times New Roman" w:hAnsi="Times New Roman" w:eastAsia="方正黑体_GBK" w:cs="Times New Roman"/>
          <w:spacing w:val="4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spacing w:val="4"/>
          <w:kern w:val="0"/>
          <w:sz w:val="32"/>
          <w:szCs w:val="32"/>
          <w:lang w:eastAsia="zh-CN"/>
        </w:rPr>
        <w:t>一、基础标准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全区个体工商户分类工作基于全省分型结果开展，个体工商户统一划分为</w:t>
      </w:r>
      <w:r>
        <w:rPr>
          <w:rFonts w:hint="eastAsia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生存型</w:t>
      </w:r>
      <w:r>
        <w:rPr>
          <w:rFonts w:hint="eastAsia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”“</w:t>
      </w:r>
      <w:r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成长型</w:t>
      </w:r>
      <w:r>
        <w:rPr>
          <w:rFonts w:hint="eastAsia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和</w:t>
      </w:r>
      <w:r>
        <w:rPr>
          <w:rFonts w:hint="eastAsia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发展型</w:t>
      </w:r>
      <w:r>
        <w:rPr>
          <w:rFonts w:hint="eastAsia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后，原则上从</w:t>
      </w:r>
      <w:r>
        <w:rPr>
          <w:rFonts w:hint="eastAsia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成长型</w:t>
      </w:r>
      <w:r>
        <w:rPr>
          <w:rFonts w:hint="eastAsia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和</w:t>
      </w:r>
      <w:r>
        <w:rPr>
          <w:rFonts w:hint="eastAsia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发展型</w:t>
      </w:r>
      <w:r>
        <w:rPr>
          <w:rFonts w:hint="eastAsia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个体工商户中认定，部门或者有关机构推荐认定的</w:t>
      </w:r>
      <w:r>
        <w:rPr>
          <w:rFonts w:hint="eastAsia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名特优新</w:t>
      </w:r>
      <w:r>
        <w:rPr>
          <w:rFonts w:hint="eastAsia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个体工商户可以不受此限。对退役军人、高校毕业生、残疾人、返乡创业农民工等经营的个体工商户，可以适当放宽分类来源。个体工商户有以下情形之一的，不得申报或者推荐为</w:t>
      </w:r>
      <w:r>
        <w:rPr>
          <w:rFonts w:hint="eastAsia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名特优新</w:t>
      </w:r>
      <w:r>
        <w:rPr>
          <w:rFonts w:hint="eastAsia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个体工商户：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A.申报或推荐之日前2年内，有在国家企业信用信息公示系统公示的罚款及以上行政处罚信息，尚未完成信用修复的；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B.个体工商户经营者被人民法院列为失信被执行人的。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20" w:lineRule="exact"/>
        <w:ind w:firstLine="656" w:firstLineChars="200"/>
        <w:jc w:val="both"/>
        <w:rPr>
          <w:rFonts w:hint="default" w:ascii="Times New Roman" w:hAnsi="Times New Roman" w:eastAsia="方正黑体_GBK" w:cs="Times New Roman"/>
          <w:spacing w:val="4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spacing w:val="4"/>
          <w:kern w:val="0"/>
          <w:sz w:val="32"/>
          <w:szCs w:val="32"/>
          <w:lang w:eastAsia="zh-CN"/>
        </w:rPr>
        <w:t>二、洪泽区分类标准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9" w:firstLineChars="200"/>
        <w:jc w:val="both"/>
        <w:textAlignment w:val="baseline"/>
        <w:rPr>
          <w:rFonts w:hint="default" w:ascii="Times New Roman" w:hAnsi="Times New Roman" w:eastAsia="方正仿宋_GBK" w:cs="Times New Roman"/>
          <w:b/>
          <w:bCs/>
          <w:spacing w:val="4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pacing w:val="4"/>
          <w:kern w:val="0"/>
          <w:sz w:val="32"/>
          <w:szCs w:val="32"/>
          <w:lang w:val="en-US" w:eastAsia="zh-CN"/>
        </w:rPr>
        <w:t>（一）</w:t>
      </w:r>
      <w:r>
        <w:rPr>
          <w:rFonts w:hint="eastAsia" w:ascii="Times New Roman" w:hAnsi="Times New Roman" w:eastAsia="方正仿宋_GBK" w:cs="Times New Roman"/>
          <w:b/>
          <w:bCs/>
          <w:spacing w:val="4"/>
          <w:ker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b/>
          <w:bCs/>
          <w:spacing w:val="4"/>
          <w:kern w:val="0"/>
          <w:sz w:val="32"/>
          <w:szCs w:val="32"/>
          <w:lang w:val="en-US" w:eastAsia="zh-CN"/>
        </w:rPr>
        <w:t>名</w:t>
      </w:r>
      <w:r>
        <w:rPr>
          <w:rFonts w:hint="eastAsia" w:ascii="Times New Roman" w:hAnsi="Times New Roman" w:eastAsia="方正仿宋_GBK" w:cs="Times New Roman"/>
          <w:b/>
          <w:bCs/>
          <w:spacing w:val="4"/>
          <w:ker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b/>
          <w:bCs/>
          <w:spacing w:val="4"/>
          <w:kern w:val="0"/>
          <w:sz w:val="32"/>
          <w:szCs w:val="32"/>
          <w:lang w:val="en-US" w:eastAsia="zh-CN"/>
        </w:rPr>
        <w:t>即</w:t>
      </w:r>
      <w:r>
        <w:rPr>
          <w:rFonts w:hint="eastAsia" w:ascii="Times New Roman" w:hAnsi="Times New Roman" w:eastAsia="方正仿宋_GBK" w:cs="Times New Roman"/>
          <w:b/>
          <w:bCs/>
          <w:spacing w:val="4"/>
          <w:ker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b/>
          <w:bCs/>
          <w:spacing w:val="4"/>
          <w:kern w:val="0"/>
          <w:sz w:val="32"/>
          <w:szCs w:val="32"/>
          <w:lang w:val="en-US" w:eastAsia="zh-CN"/>
        </w:rPr>
        <w:t>知名</w:t>
      </w:r>
      <w:r>
        <w:rPr>
          <w:rFonts w:hint="eastAsia" w:ascii="Times New Roman" w:hAnsi="Times New Roman" w:eastAsia="方正仿宋_GBK" w:cs="Times New Roman"/>
          <w:b/>
          <w:bCs/>
          <w:spacing w:val="4"/>
          <w:ker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b/>
          <w:bCs/>
          <w:spacing w:val="4"/>
          <w:kern w:val="0"/>
          <w:sz w:val="32"/>
          <w:szCs w:val="32"/>
          <w:lang w:val="en-US" w:eastAsia="zh-CN"/>
        </w:rPr>
        <w:t>个体工商户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4"/>
          <w:kern w:val="0"/>
          <w:sz w:val="32"/>
          <w:szCs w:val="32"/>
          <w:lang w:val="en-US" w:eastAsia="zh-CN"/>
        </w:rPr>
        <w:t>需满足下列任一条件：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产品和服务质量好，诚信经营，</w:t>
      </w:r>
      <w:r>
        <w:rPr>
          <w:rFonts w:hint="default" w:ascii="Times New Roman" w:hAnsi="Times New Roman" w:eastAsia="方正仿宋_GBK" w:cs="Times New Roman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有一定影响力，个体工商户、</w:t>
      </w:r>
      <w:r>
        <w:rPr>
          <w:rFonts w:hint="default" w:ascii="Times New Roman" w:hAnsi="Times New Roman" w:eastAsia="方正仿宋_GBK" w:cs="Times New Roman"/>
          <w:color w:val="000000" w:themeColor="text1"/>
          <w:kern w:val="2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经营者或其自营产品曾获镇街（园区）及以上主管部门或行业协会评选的荣誉，比如：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获得市级及以上名厨、名菜、名店、地标美食等称号的；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参加镇街（园区）及以上机构组织的展销会、博览会、交易会等获奖的。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在洪泽区内有较高市场占有率或知名度，如经营同一字号的门店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2家以</w:t>
      </w:r>
      <w:r>
        <w:rPr>
          <w:rFonts w:hint="default" w:ascii="Times New Roman" w:hAnsi="Times New Roman" w:eastAsia="方正仿宋_GBK" w:cs="Times New Roman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上的；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3.在相关网络平台有较高市场占有率或者知名度；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default" w:ascii="Times New Roman" w:hAnsi="Times New Roman" w:eastAsia="方正仿宋_GBK" w:cs="Times New Roman"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  <w:t>拥有商标品牌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或经营字号</w:t>
      </w:r>
      <w:r>
        <w:rPr>
          <w:rFonts w:hint="default" w:ascii="Times New Roman" w:hAnsi="Times New Roman" w:eastAsia="方正仿宋_GBK" w:cs="Times New Roman"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  <w:t>且有一定知名度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线下无理由退货承诺店</w:t>
      </w: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，且近一年内无属于经营者过错的消费投诉举报记录；</w:t>
      </w:r>
    </w:p>
    <w:p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rPr>
          <w:rFonts w:hint="default" w:ascii="Times New Roman" w:hAnsi="Times New Roman" w:eastAsia="方正仿宋_GBK" w:cs="Times New Roman"/>
          <w:snapToGrid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snapToGrid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6.获评江苏省</w:t>
      </w:r>
      <w:r>
        <w:rPr>
          <w:rFonts w:hint="eastAsia" w:ascii="Times New Roman" w:hAnsi="Times New Roman" w:eastAsia="方正仿宋_GBK" w:cs="Times New Roman"/>
          <w:snapToGrid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方正仿宋_GBK" w:cs="Times New Roman"/>
          <w:snapToGrid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名特优</w:t>
      </w:r>
      <w:r>
        <w:rPr>
          <w:rFonts w:hint="eastAsia" w:ascii="Times New Roman" w:hAnsi="Times New Roman" w:eastAsia="方正仿宋_GBK" w:cs="Times New Roman"/>
          <w:snapToGrid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方正仿宋_GBK" w:cs="Times New Roman"/>
          <w:snapToGrid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食品小作坊称号的；</w:t>
      </w:r>
    </w:p>
    <w:p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7.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方正仿宋_GBK" w:cs="Times New Roman"/>
          <w:snapToGrid w:val="0"/>
          <w:color w:val="000000" w:themeColor="text1"/>
          <w:spacing w:val="4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小个专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方正仿宋_GBK" w:cs="Times New Roman"/>
          <w:snapToGrid w:val="0"/>
          <w:color w:val="000000" w:themeColor="text1"/>
          <w:spacing w:val="4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党建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方面获得过荣誉的。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9" w:firstLineChars="200"/>
        <w:jc w:val="both"/>
        <w:textAlignment w:val="baseline"/>
        <w:rPr>
          <w:rFonts w:hint="default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特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即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特色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个体工商户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需满足以下任一条件：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依托全区文旅资源，在蒋坝古镇、岔河老街、淮安方特景区、老子山旅游度假区、白马湖景区内经营旅游餐饮服务、手工艺制作、土特产品销售等洪泽地方特色产品和服务，经营理念或经营方式独特，具有代表性；</w:t>
      </w:r>
    </w:p>
    <w:p>
      <w:pPr>
        <w:keepNext w:val="0"/>
        <w:keepLines w:val="0"/>
        <w:pageBreakBefore w:val="0"/>
        <w:widowControl w:val="0"/>
        <w:suppressLineNumbers w:val="0"/>
        <w:wordWrap/>
        <w:overflowPunct/>
        <w:topLinePunct w:val="0"/>
        <w:bidi w:val="0"/>
        <w:spacing w:before="0" w:beforeAutospacing="0" w:after="0" w:afterAutospacing="0" w:line="520" w:lineRule="exact"/>
        <w:ind w:left="0" w:right="0" w:firstLine="656" w:firstLineChars="200"/>
        <w:jc w:val="both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Times New Roman" w:hAnsi="Times New Roman" w:eastAsia="方正仿宋_GBK" w:cs="Times New Roman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个体工商户或其经营者是洪泽地理标志授权使用人，且从事的经营项目与授权的地理标志相关，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比如洪泽湖螃蟹、洪泽大米、蒋坝螺蛳；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4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snapToGrid w:val="0"/>
          <w:color w:val="000000" w:themeColor="text1"/>
          <w:spacing w:val="4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3.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从事镇街（园区）重点打造的特色行业（包括但不限于洪泽湖苏芡、洪泽四川麻辣鹅、西顺河牛肉、黄集羊肉、岔河大米、三河食用菌、老子山荷包饭等）；</w:t>
      </w:r>
    </w:p>
    <w:p>
      <w:pPr>
        <w:keepNext w:val="0"/>
        <w:keepLines w:val="0"/>
        <w:pageBreakBefore w:val="0"/>
        <w:widowControl w:val="0"/>
        <w:suppressLineNumbers w:val="0"/>
        <w:wordWrap/>
        <w:overflowPunct/>
        <w:topLinePunct w:val="0"/>
        <w:bidi w:val="0"/>
        <w:spacing w:before="0" w:beforeAutospacing="0" w:after="0" w:afterAutospacing="0" w:line="520" w:lineRule="exact"/>
        <w:ind w:left="0" w:right="0" w:firstLine="656" w:firstLineChars="200"/>
        <w:jc w:val="both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snapToGrid w:val="0"/>
          <w:color w:val="000000" w:themeColor="text1"/>
          <w:spacing w:val="4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4.</w:t>
      </w:r>
      <w:r>
        <w:rPr>
          <w:rFonts w:hint="default" w:ascii="Times New Roman" w:hAnsi="Times New Roman" w:eastAsia="方正仿宋_GBK" w:cs="Times New Roman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属于本地传统手工艺、祖传手艺等有一定知名度；比如：李迎春手工铜炉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snapToGrid w:val="0"/>
          <w:color w:val="000000" w:themeColor="text1"/>
          <w:spacing w:val="4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5.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持有或获准使用绿色食品、有机食品、名特优新农产品证书等；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rPr>
          <w:rFonts w:hint="default" w:ascii="Times New Roman" w:hAnsi="Times New Roman" w:eastAsia="方正仿宋_GBK" w:cs="Times New Roman"/>
          <w:snapToGrid w:val="0"/>
          <w:color w:val="000000" w:themeColor="text1"/>
          <w:spacing w:val="4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snapToGrid w:val="0"/>
          <w:color w:val="000000" w:themeColor="text1"/>
          <w:spacing w:val="4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6.</w:t>
      </w:r>
      <w:r>
        <w:rPr>
          <w:rFonts w:hint="default" w:ascii="Times New Roman" w:hAnsi="Times New Roman" w:eastAsia="方正仿宋_GBK" w:cs="Times New Roman"/>
          <w:snapToGrid w:val="0"/>
          <w:color w:val="000000" w:themeColor="text1"/>
          <w:spacing w:val="4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个体工商户经营者或其职工参加江苏省</w:t>
      </w:r>
      <w:r>
        <w:rPr>
          <w:rFonts w:hint="eastAsia" w:ascii="Times New Roman" w:hAnsi="Times New Roman" w:eastAsia="方正仿宋_GBK" w:cs="Times New Roman"/>
          <w:snapToGrid w:val="0"/>
          <w:color w:val="000000" w:themeColor="text1"/>
          <w:spacing w:val="4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方正仿宋_GBK" w:cs="Times New Roman"/>
          <w:snapToGrid w:val="0"/>
          <w:color w:val="000000" w:themeColor="text1"/>
          <w:spacing w:val="4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紫金奖</w:t>
      </w:r>
      <w:r>
        <w:rPr>
          <w:rFonts w:hint="eastAsia" w:ascii="Times New Roman" w:hAnsi="Times New Roman" w:eastAsia="方正仿宋_GBK" w:cs="Times New Roman"/>
          <w:snapToGrid w:val="0"/>
          <w:color w:val="000000" w:themeColor="text1"/>
          <w:spacing w:val="4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方正仿宋_GBK" w:cs="Times New Roman"/>
          <w:snapToGrid w:val="0"/>
          <w:color w:val="000000" w:themeColor="text1"/>
          <w:spacing w:val="4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公益传播设计大赛获得优秀奖作品及以上奖项等次的；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snapToGrid w:val="0"/>
          <w:color w:val="000000" w:themeColor="text1"/>
          <w:spacing w:val="4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7</w:t>
      </w:r>
      <w:r>
        <w:rPr>
          <w:rFonts w:hint="default" w:ascii="Times New Roman" w:hAnsi="Times New Roman" w:eastAsia="方正仿宋_GBK" w:cs="Times New Roman"/>
          <w:snapToGrid w:val="0"/>
          <w:color w:val="000000" w:themeColor="text1"/>
          <w:spacing w:val="4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其他经行业、产业主管部门或特色行业、产业协会推荐，并经审核通过的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特色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类的。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9" w:firstLineChars="200"/>
        <w:jc w:val="both"/>
        <w:textAlignment w:val="baseline"/>
        <w:rPr>
          <w:rFonts w:hint="default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优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即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优质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个体工商户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需满足以下任一条件：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56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Times New Roman" w:hAnsi="Times New Roman" w:eastAsia="方正仿宋_GBK" w:cs="Times New Roman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执着坚守、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长期诚信经营超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过10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年以上，或者上一年纳税进入全区个体工商户前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200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名名单，或者缴纳社保人数进入全区个体工商户前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200名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名单的；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2.经营者拥有区级及以上政府认定的老字号、非物质文化遗产传承人、乡村工匠等传统文化标志，或经营行业列入非物质文化遗产名录；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3.经营者获得相关职业资格证书、职业技能等级证书，或取得区级及以上技能荣誉，并实际从事关联行业；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4.经营者拥有相关专业技术职称，并实际从事关联行业；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5.经营者取得相关管理体系认证或产品质量认证等； </w:t>
      </w:r>
    </w:p>
    <w:p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6.获得市企业信用协会</w:t>
      </w: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守信用重合同</w:t>
      </w: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称号的；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56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snapToGrid w:val="0"/>
          <w:color w:val="000000" w:themeColor="text1"/>
          <w:spacing w:val="4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7.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其他经民宗、文化旅游部门基于民族宗教、文化品牌等领域的职能和优势推荐，并经审核通过的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优质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类的。（推荐理由如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:热心社会公益、积极参加行业内活动，助力区域内产品质量或技艺提升等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9" w:firstLineChars="200"/>
        <w:jc w:val="both"/>
        <w:textAlignment w:val="baseline"/>
        <w:rPr>
          <w:rFonts w:hint="default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（四）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新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即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新兴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个体工商户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需满足以下任一条件：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1.从事新技术、新产业、新业态、新模式经营（经营范围可参考国家统计局《关于印发〈新产业新业态新商业模式统计分类（ 2018）〉的通知》（ 国统字〔2018〕111 号）），在当地发挥引领示范作用，有效带动产业发展或周边群众致富；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2.依托互联网从事文艺创作、自媒体、直播带货等活动，在相关平台经营状况好，积累一定声誉，</w:t>
      </w:r>
      <w:r>
        <w:rPr>
          <w:rFonts w:hint="default" w:ascii="Times New Roman" w:hAnsi="Times New Roman" w:eastAsia="方正仿宋_GBK" w:cs="Times New Roman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粉丝量或用户数量大，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为洪泽旅游文化宣介做出贡献等；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3.从事信息技术、物联网、人工智能、高端装备制造、新材料、生物、新能源汽车、新能源、节能环保、数字创意等十大战略性新兴产业的；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4.拥有自主知识产权的；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符合分类标准的个体工商户可由相关行业主管部门推荐为</w:t>
      </w: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名特优新</w:t>
      </w: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其中一类，审核通过后也可认定为相应类型。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另外，经中国个体劳动者协会评选的</w:t>
      </w: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全国先进个体工商户</w:t>
      </w: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，获得区级以上人民政府及其相关部门、区级以上个体劳动者协会推荐、表彰的优秀个体工商户，可在满足基础标准时优先参与评定。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bidi w:val="0"/>
        <w:spacing w:line="520" w:lineRule="exact"/>
        <w:ind w:firstLine="656" w:firstLineChars="200"/>
        <w:jc w:val="both"/>
        <w:rPr>
          <w:rFonts w:hint="eastAsia" w:ascii="Times New Roman" w:hAnsi="Times New Roman" w:eastAsia="方正黑体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分类</w:t>
      </w:r>
      <w:r>
        <w:rPr>
          <w:rFonts w:hint="eastAsia" w:ascii="Times New Roman" w:hAnsi="Times New Roman" w:eastAsia="方正黑体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认定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9" w:firstLineChars="200"/>
        <w:jc w:val="both"/>
        <w:textAlignment w:val="baseline"/>
        <w:rPr>
          <w:rFonts w:hint="eastAsia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分类周期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个体工商户分类每年定期组织开展一次，在个体工商户集中分型判定结束后进行。当年8月中旬起，按照上级相关工作部署，区市场监管局组织开展“名特优新”个体工商户的认定工作，依托“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分型分类培育管理平台</w:t>
      </w: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”，完成申报、推荐、认定、公示等各项程序，并于每年11月底前完成分类。次年1月1日起，认定的“名特优新”个体工商户享受相关扶持政策。申报、推荐、认定、公示的各项时间节点， 由省局统一规定。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left="0" w:leftChars="0" w:firstLine="659" w:firstLineChars="200"/>
        <w:rPr>
          <w:rFonts w:hint="default" w:ascii="Times New Roman" w:hAnsi="Times New Roman" w:eastAsia="方正仿宋_GBK" w:cs="Times New Roman"/>
          <w:b/>
          <w:bCs/>
          <w:snapToGrid w:val="0"/>
          <w:color w:val="000000" w:themeColor="text1"/>
          <w:spacing w:val="4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 w:themeColor="text1"/>
          <w:spacing w:val="4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仿宋_GBK" w:cs="Times New Roman"/>
          <w:b/>
          <w:bCs/>
          <w:snapToGrid w:val="0"/>
          <w:color w:val="000000" w:themeColor="text1"/>
          <w:spacing w:val="4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二</w:t>
      </w: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 w:themeColor="text1"/>
          <w:spacing w:val="4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 w:eastAsia="方正仿宋_GBK" w:cs="Times New Roman"/>
          <w:b/>
          <w:bCs/>
          <w:snapToGrid w:val="0"/>
          <w:color w:val="000000" w:themeColor="text1"/>
          <w:spacing w:val="4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分类来源及认定方式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自主申报认定。个体工商户根据属地原则，登录分型</w:t>
      </w: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分类培育管理平台</w:t>
      </w: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，完成自主申报。区市场监管局经走访核实、征求意见、信息公示等步骤后，认定为</w:t>
      </w: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名特优新</w:t>
      </w: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个体工商户。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部门或者有关机构推荐认定。充分发挥区扶持个体工商户发展部门联席会议机制作用，</w:t>
      </w:r>
      <w:r>
        <w:rPr>
          <w:rFonts w:ascii="方正仿宋_GBK" w:hAnsi="方正仿宋_GBK" w:eastAsia="方正仿宋_GBK" w:cs="方正仿宋_GBK"/>
          <w:color w:val="000000" w:themeColor="text1"/>
          <w:spacing w:val="-7"/>
          <w:sz w:val="32"/>
          <w:szCs w:val="32"/>
          <w14:textFill>
            <w14:solidFill>
              <w14:schemeClr w14:val="tx1"/>
            </w14:solidFill>
          </w14:textFill>
        </w:rPr>
        <w:t>调动行业协会等机构积极性，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对有代表性、亟需进行保护、具有导向作用的个体工商户，如老字号、非物质文化遗产传承人、乡村匠人、退役军人创业者、行业领域内优秀代表人物等，经经营者本人同意，相关部门组织推荐后，由区市场监管局认定为</w:t>
      </w: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名特优新</w:t>
      </w: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个体工商户。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left="0" w:leftChars="0" w:firstLine="659" w:firstLineChars="200"/>
        <w:rPr>
          <w:rFonts w:hint="default" w:ascii="Times New Roman" w:hAnsi="Times New Roman" w:eastAsia="方正仿宋_GBK" w:cs="Times New Roman"/>
          <w:b/>
          <w:bCs/>
          <w:snapToGrid w:val="0"/>
          <w:color w:val="000000" w:themeColor="text1"/>
          <w:spacing w:val="4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 w:themeColor="text1"/>
          <w:spacing w:val="4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仿宋_GBK" w:cs="Times New Roman"/>
          <w:b/>
          <w:bCs/>
          <w:snapToGrid w:val="0"/>
          <w:color w:val="000000" w:themeColor="text1"/>
          <w:spacing w:val="4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三</w:t>
      </w:r>
      <w:r>
        <w:rPr>
          <w:rFonts w:hint="default" w:ascii="Times New Roman" w:hAnsi="Times New Roman" w:eastAsia="方正仿宋_GBK" w:cs="Times New Roman"/>
          <w:b/>
          <w:bCs/>
          <w:snapToGrid w:val="0"/>
          <w:color w:val="000000" w:themeColor="text1"/>
          <w:spacing w:val="4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 w:eastAsia="方正仿宋_GBK" w:cs="Times New Roman"/>
          <w:b/>
          <w:bCs/>
          <w:snapToGrid w:val="0"/>
          <w:color w:val="000000" w:themeColor="text1"/>
          <w:spacing w:val="4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数量比例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名特优新</w:t>
      </w: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个体工商户认定比例控制在</w:t>
      </w: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成长型</w:t>
      </w: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发展型</w:t>
      </w: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个体工商户总数量的5%以内（以每年个体工商户集中分型判定数量为基准）。</w:t>
      </w: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名、特、优、新</w:t>
      </w: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四类之间不设数量比例要求。</w:t>
      </w: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同一个体工商户只能认定一个类型。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同一个体工商户或者同一自然人设立多个个体工商户的，只能有一个个体工商户获得认定。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bidi w:val="0"/>
        <w:spacing w:line="520" w:lineRule="exact"/>
        <w:ind w:left="0" w:leftChars="0" w:firstLine="656" w:firstLineChars="200"/>
        <w:jc w:val="both"/>
        <w:rPr>
          <w:rFonts w:hint="default" w:ascii="Times New Roman" w:hAnsi="Times New Roman" w:eastAsia="方正黑体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有效期和</w:t>
      </w:r>
      <w:r>
        <w:rPr>
          <w:rFonts w:hint="default" w:ascii="Times New Roman" w:hAnsi="Times New Roman" w:eastAsia="方正黑体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中期评估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“名特优新”个体工商户认定有效期为 3 年，以认定时间为   准。有效期内，“名特优新”个体工商户应当通过培育平台，于   每年 7 月底前完成信息报告。个体工商户变更经营者的，要在变更后及时报告。认定部门应当审核信息报告，并对“名特优新”个体工商户是否继续符合分型和分类基础标准进行确认。对已不符合标准的，取消认定。</w:t>
      </w: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满足下列条件之一的，有效期可延长3年</w:t>
      </w:r>
      <w:r>
        <w:rPr>
          <w:rFonts w:hint="eastAsia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A.上一年度年报中填报的销售额或营业收入在20万（含）以上的。退役军人、高校毕业生、残疾人、返乡创业农民工等特殊重点人群经营的个体工商户，上一年度年报中填报的销售额或营业收入在 10 万元（含）以上的；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B.上一年度实际缴纳税款，或被税务部门认定为一般纳税 人；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C.具有上一年度以单位形式为员工（含经营者本人）缴纳社保的记录；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D.获得区级及以上政府部门推荐的。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已认定的“名特优新”个体工商户，存在以下情形应移除出库：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A．在自主申报过程中以欺诈、贿赂等手段隐瞒真实情况、弄虚作假取得认定的，应当撤销认定，被撤销认定之日起5年内不得再次申报；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B．发生注销、吊销营业执照，或者转型升级为企业时，将被自动移除出库；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6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4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C．存在发生重大安全事故、重大负面舆情等情形。</w:t>
      </w:r>
    </w:p>
    <w:p>
      <w:pPr>
        <w:pStyle w:val="2"/>
        <w:rPr>
          <w:rFonts w:hint="eastAsia" w:ascii="方正仿宋_GBK" w:hAnsi="方正仿宋_GBK" w:eastAsia="方正仿宋_GBK" w:cs="方正仿宋_GBK"/>
          <w:spacing w:val="4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p>
      <w:pPr>
        <w:rPr>
          <w:rFonts w:hint="eastAsia" w:ascii="方正仿宋_GBK" w:hAnsi="方正仿宋_GBK" w:eastAsia="方正仿宋_GBK" w:cs="方正仿宋_GBK"/>
          <w:spacing w:val="4"/>
          <w:kern w:val="0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8"/>
        <w:widowControl/>
        <w:shd w:val="clear" w:color="auto" w:fill="FFFFFF"/>
        <w:spacing w:beforeAutospacing="0" w:afterAutospacing="0" w:line="480" w:lineRule="exact"/>
        <w:ind w:firstLine="420"/>
        <w:jc w:val="center"/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  <w:lang w:val="en-US" w:eastAsia="zh-CN"/>
        </w:rPr>
        <w:t xml:space="preserve">         </w:t>
      </w:r>
    </w:p>
    <w:p>
      <w:pPr>
        <w:pStyle w:val="8"/>
        <w:widowControl/>
        <w:shd w:val="clear" w:color="auto" w:fill="FFFFFF"/>
        <w:spacing w:beforeAutospacing="0" w:afterAutospacing="0" w:line="480" w:lineRule="exact"/>
        <w:ind w:firstLine="420"/>
        <w:jc w:val="center"/>
        <w:rPr>
          <w:rFonts w:ascii="方正仿宋_GBK" w:hAnsi="方正仿宋_GBK" w:eastAsia="方正仿宋_GBK" w:cs="方正仿宋_GBK"/>
          <w:color w:val="333333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  <w:lang w:val="en-US" w:eastAsia="zh-CN"/>
        </w:rPr>
        <w:t xml:space="preserve">                    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</w:rPr>
        <w:t>淮安市洪泽区市场监督管理局</w:t>
      </w:r>
    </w:p>
    <w:p>
      <w:pPr>
        <w:pStyle w:val="8"/>
        <w:widowControl/>
        <w:shd w:val="clear" w:color="auto" w:fill="FFFFFF"/>
        <w:spacing w:beforeAutospacing="0" w:afterAutospacing="0" w:line="480" w:lineRule="exact"/>
        <w:ind w:right="640" w:firstLine="420"/>
        <w:jc w:val="center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FFFFF"/>
          <w:lang w:val="en-US" w:eastAsia="zh-CN"/>
        </w:rPr>
        <w:t xml:space="preserve">              </w:t>
      </w:r>
      <w:r>
        <w:rPr>
          <w:rFonts w:hint="eastAsia" w:ascii="Times New Roman" w:hAnsi="Times New Roman" w:eastAsia="方正仿宋_GBK" w:cs="Times New Roman"/>
          <w:snapToGrid w:val="0"/>
          <w:color w:val="000000"/>
          <w:spacing w:val="-6"/>
          <w:kern w:val="2"/>
          <w:sz w:val="32"/>
          <w:szCs w:val="32"/>
          <w:lang w:val="en-US" w:eastAsia="zh-CN" w:bidi="ar-SA"/>
        </w:rPr>
        <w:t xml:space="preserve">                 2024年8月29日</w:t>
      </w:r>
    </w:p>
    <w:sectPr>
      <w:footerReference r:id="rId3" w:type="default"/>
      <w:pgSz w:w="12240" w:h="15840"/>
      <w:pgMar w:top="1701" w:right="1417" w:bottom="1417" w:left="1417" w:header="0" w:footer="884" w:gutter="0"/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7453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209A9F"/>
    <w:multiLevelType w:val="singleLevel"/>
    <w:tmpl w:val="82209A9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0E32ACF"/>
    <w:multiLevelType w:val="singleLevel"/>
    <w:tmpl w:val="C0E32AC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25C335FA"/>
    <w:multiLevelType w:val="singleLevel"/>
    <w:tmpl w:val="25C335FA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embedSystem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compat>
    <w:spaceForUL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docVars>
    <w:docVar w:name="commondata" w:val="eyJoZGlkIjoiZGZmNjgyMWJmZDhlNDM4ZTAzODJkYmNjZDU0ZWExZjkifQ=="/>
  </w:docVars>
  <w:rsids>
    <w:rsidRoot w:val="00000000"/>
    <w:rsid w:val="010942D0"/>
    <w:rsid w:val="031B779D"/>
    <w:rsid w:val="08A744A3"/>
    <w:rsid w:val="0B434D6C"/>
    <w:rsid w:val="15FE698B"/>
    <w:rsid w:val="185E1D35"/>
    <w:rsid w:val="208E22FC"/>
    <w:rsid w:val="217F2CE1"/>
    <w:rsid w:val="26F10A8D"/>
    <w:rsid w:val="29F54E1F"/>
    <w:rsid w:val="2DF70BDE"/>
    <w:rsid w:val="30F04559"/>
    <w:rsid w:val="328B6743"/>
    <w:rsid w:val="351A1EF3"/>
    <w:rsid w:val="35DF2155"/>
    <w:rsid w:val="42372C45"/>
    <w:rsid w:val="45CD5D35"/>
    <w:rsid w:val="4A88524E"/>
    <w:rsid w:val="4BC536B2"/>
    <w:rsid w:val="4ED4346B"/>
    <w:rsid w:val="4FBA2A83"/>
    <w:rsid w:val="521434C7"/>
    <w:rsid w:val="52520F6D"/>
    <w:rsid w:val="587060EA"/>
    <w:rsid w:val="68A104F4"/>
    <w:rsid w:val="69242A47"/>
    <w:rsid w:val="6ABA6EC3"/>
    <w:rsid w:val="71010194"/>
    <w:rsid w:val="72D51220"/>
    <w:rsid w:val="734E7224"/>
    <w:rsid w:val="7609668A"/>
    <w:rsid w:val="76FF67AF"/>
    <w:rsid w:val="77896467"/>
    <w:rsid w:val="7CC32D94"/>
    <w:rsid w:val="7FFB52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4">
    <w:name w:val="heading 1"/>
    <w:basedOn w:val="1"/>
    <w:next w:val="1"/>
    <w:qFormat/>
    <w:uiPriority w:val="1"/>
    <w:pPr>
      <w:spacing w:line="598" w:lineRule="exact"/>
      <w:ind w:left="899"/>
      <w:outlineLvl w:val="1"/>
    </w:pPr>
    <w:rPr>
      <w:rFonts w:ascii="方正小标宋_GBK" w:hAnsi="方正小标宋_GBK" w:eastAsia="方正小标宋_GBK" w:cs="方正小标宋_GBK"/>
      <w:sz w:val="40"/>
      <w:szCs w:val="40"/>
      <w:lang w:val="zh-CN" w:eastAsia="zh-CN" w:bidi="zh-CN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  <w:rPr>
      <w:rFonts w:eastAsia="宋体"/>
      <w:sz w:val="21"/>
    </w:rPr>
  </w:style>
  <w:style w:type="paragraph" w:styleId="3">
    <w:name w:val="Body Text Indent"/>
    <w:basedOn w:val="1"/>
    <w:next w:val="2"/>
    <w:qFormat/>
    <w:uiPriority w:val="0"/>
    <w:pPr>
      <w:ind w:firstLine="662" w:firstLineChars="200"/>
    </w:pPr>
    <w:rPr>
      <w:rFonts w:ascii="仿宋_GB2312" w:eastAsia="仿宋_GB2312"/>
      <w:sz w:val="32"/>
    </w:rPr>
  </w:style>
  <w:style w:type="paragraph" w:styleId="5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</w:rPr>
  </w:style>
  <w:style w:type="paragraph" w:styleId="9">
    <w:name w:val="Title"/>
    <w:qFormat/>
    <w:uiPriority w:val="10"/>
    <w:pPr>
      <w:widowControl w:val="0"/>
      <w:overflowPunct w:val="0"/>
      <w:topLinePunct/>
      <w:autoSpaceDN w:val="0"/>
      <w:jc w:val="center"/>
    </w:pPr>
    <w:rPr>
      <w:rFonts w:ascii="Times New Roman" w:hAnsi="Times New Roman" w:eastAsia="方正小标宋_GBK" w:cs="Times New Roman"/>
      <w:spacing w:val="-6"/>
      <w:kern w:val="2"/>
      <w:sz w:val="44"/>
      <w:szCs w:val="32"/>
      <w:lang w:val="en-US" w:eastAsia="zh-CN" w:bidi="ar-SA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1963</Words>
  <Characters>2010</Characters>
  <TotalTime>1</TotalTime>
  <ScaleCrop>false</ScaleCrop>
  <LinksUpToDate>false</LinksUpToDate>
  <CharactersWithSpaces>2038</CharactersWithSpaces>
  <Application>WPS Office_11.1.0.10314_F1E327BC-269C-435d-A152-05C5408002CA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2024-08-07T15:11:00Z</dcterms:created>
  <dc:creator>user</dc:creator>
  <cp:lastModifiedBy>YWDEVOTEDY</cp:lastModifiedBy>
  <cp:lastPrinted>2024-08-28T08:29:00Z</cp:lastPrinted>
  <dcterms:modified xsi:type="dcterms:W3CDTF">2024-08-29T02:51:17Z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2024-08-07T15:13:15Z</vt:filetime>
  </property>
  <property fmtid="{D5CDD505-2E9C-101B-9397-08002B2CF9AE}" pid="4" name="KSOProductBuildVer">
    <vt:lpwstr>2052-11.1.0.10314</vt:lpwstr>
  </property>
  <property fmtid="{D5CDD505-2E9C-101B-9397-08002B2CF9AE}" pid="5" name="ICV">
    <vt:lpwstr>8CA501A05F51479A93612C930DDF1E2A_13</vt:lpwstr>
  </property>
  <property fmtid="{D5CDD505-2E9C-101B-9397-08002B2CF9AE}" pid="6" name="KSOSaveFontToCloudKey">
    <vt:lpwstr>282602278_cloud</vt:lpwstr>
  </property>
</Properties>
</file>